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A2" w:rsidRDefault="00B37CA2">
      <w:bookmarkStart w:id="0" w:name="_GoBack"/>
      <w:bookmarkEnd w:id="0"/>
    </w:p>
    <w:tbl>
      <w:tblPr>
        <w:tblStyle w:val="a"/>
        <w:tblW w:w="11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8910"/>
      </w:tblGrid>
      <w:tr w:rsidR="00B37CA2" w:rsidTr="00727A00">
        <w:trPr>
          <w:jc w:val="center"/>
        </w:trPr>
        <w:tc>
          <w:tcPr>
            <w:tcW w:w="2145" w:type="dxa"/>
            <w:shd w:val="clear" w:color="auto" w:fill="B7B7B7"/>
            <w:tcMar>
              <w:top w:w="100" w:type="dxa"/>
              <w:left w:w="100" w:type="dxa"/>
              <w:bottom w:w="100" w:type="dxa"/>
              <w:right w:w="100" w:type="dxa"/>
            </w:tcMar>
          </w:tcPr>
          <w:p w:rsidR="00B37CA2" w:rsidRDefault="00DA1DBF">
            <w:pPr>
              <w:spacing w:line="240" w:lineRule="auto"/>
            </w:pPr>
            <w:r>
              <w:t>Standard</w:t>
            </w:r>
          </w:p>
        </w:tc>
        <w:tc>
          <w:tcPr>
            <w:tcW w:w="8910" w:type="dxa"/>
            <w:shd w:val="clear" w:color="auto" w:fill="B7B7B7"/>
            <w:tcMar>
              <w:top w:w="100" w:type="dxa"/>
              <w:left w:w="100" w:type="dxa"/>
              <w:bottom w:w="100" w:type="dxa"/>
              <w:right w:w="100" w:type="dxa"/>
            </w:tcMar>
          </w:tcPr>
          <w:p w:rsidR="00B37CA2" w:rsidRDefault="00DA1DBF">
            <w:pPr>
              <w:spacing w:line="240" w:lineRule="auto"/>
            </w:pPr>
            <w:r>
              <w:t>Items:</w:t>
            </w:r>
          </w:p>
        </w:tc>
      </w:tr>
      <w:tr w:rsidR="00B37CA2" w:rsidTr="00727A00">
        <w:trPr>
          <w:trHeight w:val="420"/>
          <w:jc w:val="center"/>
        </w:trPr>
        <w:tc>
          <w:tcPr>
            <w:tcW w:w="2145" w:type="dxa"/>
            <w:vMerge w:val="restart"/>
            <w:tcMar>
              <w:top w:w="100" w:type="dxa"/>
              <w:left w:w="100" w:type="dxa"/>
              <w:bottom w:w="100" w:type="dxa"/>
              <w:right w:w="100" w:type="dxa"/>
            </w:tcMar>
          </w:tcPr>
          <w:p w:rsidR="00B37CA2" w:rsidRDefault="00DA1DBF">
            <w:pPr>
              <w:spacing w:line="240" w:lineRule="auto"/>
              <w:rPr>
                <w:b/>
              </w:rPr>
            </w:pPr>
            <w:r>
              <w:rPr>
                <w:b/>
              </w:rPr>
              <w:t>K.CC.04 -</w:t>
            </w:r>
          </w:p>
          <w:p w:rsidR="00B37CA2" w:rsidRDefault="00DA1DBF">
            <w:pPr>
              <w:spacing w:line="240" w:lineRule="auto"/>
              <w:rPr>
                <w:color w:val="FF0000"/>
              </w:rPr>
            </w:pPr>
            <w:r>
              <w:t xml:space="preserve">Understand the relationship between numbers and quantities; connect counting to cardinality. </w:t>
            </w:r>
            <w:r>
              <w:rPr>
                <w:color w:val="FF0000"/>
              </w:rPr>
              <w:t>T1</w:t>
            </w:r>
          </w:p>
          <w:p w:rsidR="00B37CA2" w:rsidRDefault="00B37CA2">
            <w:pPr>
              <w:spacing w:line="240" w:lineRule="auto"/>
            </w:pPr>
          </w:p>
          <w:p w:rsidR="00B37CA2" w:rsidRDefault="00DA1DBF">
            <w:pPr>
              <w:spacing w:line="240" w:lineRule="auto"/>
            </w:pPr>
            <w:r>
              <w:t>a) When counting objects, say the number names in the standard order, pairing each object with one and only one number name and each number name with one and only one object.</w:t>
            </w:r>
          </w:p>
          <w:p w:rsidR="00B37CA2" w:rsidRDefault="00B37CA2">
            <w:pPr>
              <w:spacing w:line="240" w:lineRule="auto"/>
            </w:pPr>
          </w:p>
          <w:p w:rsidR="00B37CA2" w:rsidRDefault="00DA1DBF">
            <w:pPr>
              <w:spacing w:line="240" w:lineRule="auto"/>
            </w:pPr>
            <w:r>
              <w:t>b) Understand that the last number name said tells the number of objects counted. The number of objects is the same regardless of their arrangement or the order in which they were counted.</w:t>
            </w:r>
          </w:p>
        </w:tc>
        <w:tc>
          <w:tcPr>
            <w:tcW w:w="8910" w:type="dxa"/>
            <w:tcMar>
              <w:top w:w="100" w:type="dxa"/>
              <w:left w:w="100" w:type="dxa"/>
              <w:bottom w:w="100" w:type="dxa"/>
              <w:right w:w="100" w:type="dxa"/>
            </w:tcMar>
          </w:tcPr>
          <w:p w:rsidR="00B37CA2" w:rsidRDefault="00DA1DBF">
            <w:pPr>
              <w:spacing w:line="240" w:lineRule="auto"/>
              <w:rPr>
                <w:b/>
              </w:rPr>
            </w:pPr>
            <w:r>
              <w:rPr>
                <w:b/>
              </w:rPr>
              <w:t>3.0</w:t>
            </w:r>
          </w:p>
          <w:p w:rsidR="00B37CA2" w:rsidRDefault="00DA1DBF">
            <w:pPr>
              <w:numPr>
                <w:ilvl w:val="0"/>
                <w:numId w:val="2"/>
              </w:numPr>
              <w:spacing w:line="240" w:lineRule="auto"/>
              <w:ind w:hanging="360"/>
              <w:contextualSpacing/>
            </w:pPr>
            <w:r>
              <w:t xml:space="preserve">“Count as far as you can by ones.” </w:t>
            </w:r>
          </w:p>
          <w:p w:rsidR="00B37CA2" w:rsidRDefault="00DA1DBF">
            <w:pPr>
              <w:numPr>
                <w:ilvl w:val="0"/>
                <w:numId w:val="2"/>
              </w:numPr>
              <w:spacing w:line="240" w:lineRule="auto"/>
              <w:ind w:hanging="360"/>
              <w:contextualSpacing/>
            </w:pPr>
            <w:r>
              <w:t>“Can you count to 100 by tens?”</w:t>
            </w:r>
          </w:p>
          <w:p w:rsidR="00B37CA2" w:rsidRDefault="00B37CA2">
            <w:pPr>
              <w:spacing w:line="240" w:lineRule="auto"/>
            </w:pPr>
          </w:p>
          <w:p w:rsidR="00B37CA2" w:rsidRDefault="00B37CA2">
            <w:pPr>
              <w:spacing w:line="240" w:lineRule="auto"/>
            </w:pPr>
          </w:p>
          <w:p w:rsidR="00B37CA2" w:rsidRDefault="00B37CA2">
            <w:pPr>
              <w:spacing w:line="240" w:lineRule="auto"/>
            </w:pPr>
          </w:p>
        </w:tc>
      </w:tr>
      <w:tr w:rsidR="00B37CA2" w:rsidTr="00727A00">
        <w:trPr>
          <w:trHeight w:val="420"/>
          <w:jc w:val="center"/>
        </w:trPr>
        <w:tc>
          <w:tcPr>
            <w:tcW w:w="2145" w:type="dxa"/>
            <w:vMerge/>
            <w:tcMar>
              <w:top w:w="100" w:type="dxa"/>
              <w:left w:w="100" w:type="dxa"/>
              <w:bottom w:w="100" w:type="dxa"/>
              <w:right w:w="100" w:type="dxa"/>
            </w:tcMar>
          </w:tcPr>
          <w:p w:rsidR="00B37CA2" w:rsidRDefault="00B37CA2">
            <w:pPr>
              <w:spacing w:line="240" w:lineRule="auto"/>
            </w:pPr>
          </w:p>
        </w:tc>
        <w:tc>
          <w:tcPr>
            <w:tcW w:w="8910" w:type="dxa"/>
            <w:tcMar>
              <w:top w:w="100" w:type="dxa"/>
              <w:left w:w="100" w:type="dxa"/>
              <w:bottom w:w="100" w:type="dxa"/>
              <w:right w:w="100" w:type="dxa"/>
            </w:tcMar>
          </w:tcPr>
          <w:p w:rsidR="00B37CA2" w:rsidRDefault="00DA1DBF">
            <w:pPr>
              <w:spacing w:line="240" w:lineRule="auto"/>
              <w:rPr>
                <w:b/>
              </w:rPr>
            </w:pPr>
            <w:r>
              <w:rPr>
                <w:b/>
              </w:rPr>
              <w:t>2.0</w:t>
            </w:r>
          </w:p>
          <w:p w:rsidR="00B37CA2" w:rsidRDefault="00DA1DBF">
            <w:pPr>
              <w:numPr>
                <w:ilvl w:val="0"/>
                <w:numId w:val="1"/>
              </w:numPr>
              <w:spacing w:line="240" w:lineRule="auto"/>
              <w:ind w:hanging="360"/>
              <w:contextualSpacing/>
            </w:pPr>
            <w:r>
              <w:t>“Count as far as you can by ones.”</w:t>
            </w:r>
          </w:p>
          <w:p w:rsidR="00B37CA2" w:rsidRDefault="00DA1DBF">
            <w:pPr>
              <w:numPr>
                <w:ilvl w:val="0"/>
                <w:numId w:val="1"/>
              </w:numPr>
              <w:spacing w:line="240" w:lineRule="auto"/>
              <w:ind w:hanging="360"/>
              <w:contextualSpacing/>
            </w:pPr>
            <w:r>
              <w:t>“Can you count to 100 by tens?”</w:t>
            </w:r>
          </w:p>
        </w:tc>
      </w:tr>
      <w:tr w:rsidR="00B37CA2" w:rsidTr="00727A00">
        <w:trPr>
          <w:trHeight w:val="6680"/>
          <w:jc w:val="center"/>
        </w:trPr>
        <w:tc>
          <w:tcPr>
            <w:tcW w:w="2145" w:type="dxa"/>
            <w:vMerge w:val="restart"/>
            <w:tcMar>
              <w:top w:w="100" w:type="dxa"/>
              <w:left w:w="100" w:type="dxa"/>
              <w:bottom w:w="100" w:type="dxa"/>
              <w:right w:w="100" w:type="dxa"/>
            </w:tcMar>
          </w:tcPr>
          <w:p w:rsidR="00B37CA2" w:rsidRDefault="00DA1DBF">
            <w:pPr>
              <w:spacing w:line="240" w:lineRule="auto"/>
              <w:rPr>
                <w:b/>
              </w:rPr>
            </w:pPr>
            <w:r>
              <w:rPr>
                <w:b/>
              </w:rPr>
              <w:lastRenderedPageBreak/>
              <w:t>K.MD.03 -</w:t>
            </w:r>
          </w:p>
          <w:p w:rsidR="00B37CA2" w:rsidRDefault="00DA1DBF">
            <w:pPr>
              <w:spacing w:line="240" w:lineRule="auto"/>
              <w:rPr>
                <w:color w:val="FF0000"/>
              </w:rPr>
            </w:pPr>
            <w:r>
              <w:t xml:space="preserve">Classify objects into given categories; count the numbers of objects in each category and sort the categories by count. </w:t>
            </w:r>
            <w:r>
              <w:rPr>
                <w:color w:val="FF0000"/>
              </w:rPr>
              <w:t>T1</w:t>
            </w:r>
          </w:p>
          <w:p w:rsidR="00B37CA2" w:rsidRDefault="00B37CA2">
            <w:pPr>
              <w:spacing w:line="240" w:lineRule="auto"/>
              <w:rPr>
                <w:color w:val="FF0000"/>
              </w:rPr>
            </w:pPr>
          </w:p>
          <w:p w:rsidR="00B37CA2" w:rsidRDefault="00B37CA2">
            <w:pPr>
              <w:spacing w:line="240" w:lineRule="auto"/>
              <w:rPr>
                <w:color w:val="FF0000"/>
              </w:rPr>
            </w:pPr>
          </w:p>
          <w:p w:rsidR="00B37CA2" w:rsidRDefault="00B37CA2">
            <w:pPr>
              <w:spacing w:line="240" w:lineRule="auto"/>
              <w:rPr>
                <w:color w:val="FF0000"/>
              </w:rPr>
            </w:pPr>
          </w:p>
          <w:p w:rsidR="00B37CA2" w:rsidRDefault="00B37CA2">
            <w:pPr>
              <w:spacing w:line="240" w:lineRule="auto"/>
              <w:rPr>
                <w:color w:val="FF0000"/>
              </w:rPr>
            </w:pPr>
          </w:p>
          <w:p w:rsidR="00B37CA2" w:rsidRDefault="00B37CA2">
            <w:pPr>
              <w:spacing w:line="240" w:lineRule="auto"/>
              <w:rPr>
                <w:color w:val="FF0000"/>
              </w:rPr>
            </w:pPr>
          </w:p>
          <w:p w:rsidR="00B37CA2" w:rsidRDefault="00B37CA2">
            <w:pPr>
              <w:spacing w:line="240" w:lineRule="auto"/>
              <w:rPr>
                <w:color w:val="FF0000"/>
              </w:rPr>
            </w:pPr>
          </w:p>
          <w:p w:rsidR="00B37CA2" w:rsidRDefault="00B37CA2">
            <w:pPr>
              <w:spacing w:line="240" w:lineRule="auto"/>
              <w:rPr>
                <w:color w:val="FF0000"/>
              </w:rPr>
            </w:pPr>
          </w:p>
          <w:p w:rsidR="00B37CA2" w:rsidRDefault="00B37CA2">
            <w:pPr>
              <w:spacing w:line="240" w:lineRule="auto"/>
              <w:rPr>
                <w:color w:val="FF0000"/>
              </w:rPr>
            </w:pPr>
          </w:p>
          <w:p w:rsidR="00B37CA2" w:rsidRDefault="00B37CA2">
            <w:pPr>
              <w:spacing w:line="240" w:lineRule="auto"/>
              <w:rPr>
                <w:color w:val="FF0000"/>
              </w:rPr>
            </w:pPr>
          </w:p>
          <w:p w:rsidR="00B37CA2" w:rsidRDefault="00B37CA2">
            <w:pPr>
              <w:spacing w:line="240" w:lineRule="auto"/>
              <w:rPr>
                <w:color w:val="FF0000"/>
              </w:rPr>
            </w:pPr>
          </w:p>
          <w:p w:rsidR="00B37CA2" w:rsidRDefault="00B37CA2">
            <w:pPr>
              <w:spacing w:line="240" w:lineRule="auto"/>
              <w:rPr>
                <w:color w:val="FF0000"/>
              </w:rPr>
            </w:pPr>
          </w:p>
          <w:p w:rsidR="00B37CA2" w:rsidRDefault="00B37CA2">
            <w:pPr>
              <w:spacing w:line="240" w:lineRule="auto"/>
              <w:rPr>
                <w:color w:val="FF0000"/>
              </w:rPr>
            </w:pPr>
          </w:p>
          <w:p w:rsidR="00B37CA2" w:rsidRDefault="00B37CA2">
            <w:pPr>
              <w:spacing w:line="240" w:lineRule="auto"/>
              <w:rPr>
                <w:color w:val="FF0000"/>
              </w:rPr>
            </w:pPr>
          </w:p>
        </w:tc>
        <w:tc>
          <w:tcPr>
            <w:tcW w:w="8910" w:type="dxa"/>
            <w:tcMar>
              <w:top w:w="100" w:type="dxa"/>
              <w:left w:w="100" w:type="dxa"/>
              <w:bottom w:w="100" w:type="dxa"/>
              <w:right w:w="100" w:type="dxa"/>
            </w:tcMar>
          </w:tcPr>
          <w:p w:rsidR="00B37CA2" w:rsidRDefault="00DA1DBF">
            <w:pPr>
              <w:spacing w:line="240" w:lineRule="auto"/>
              <w:rPr>
                <w:b/>
              </w:rPr>
            </w:pPr>
            <w:r>
              <w:rPr>
                <w:b/>
              </w:rPr>
              <w:t>3.0</w:t>
            </w:r>
          </w:p>
          <w:p w:rsidR="00B37CA2" w:rsidRDefault="00DA1DBF">
            <w:pPr>
              <w:spacing w:line="240" w:lineRule="auto"/>
            </w:pPr>
            <w:r>
              <w:rPr>
                <w:noProof/>
              </w:rPr>
              <w:drawing>
                <wp:inline distT="114300" distB="114300" distL="114300" distR="114300">
                  <wp:extent cx="5467165" cy="3614738"/>
                  <wp:effectExtent l="0" t="0" r="0" b="0"/>
                  <wp:docPr id="1" name="image3.png" descr="Screen Shot 2016-03-29 at 11.34.04 AM.png"/>
                  <wp:cNvGraphicFramePr/>
                  <a:graphic xmlns:a="http://schemas.openxmlformats.org/drawingml/2006/main">
                    <a:graphicData uri="http://schemas.openxmlformats.org/drawingml/2006/picture">
                      <pic:pic xmlns:pic="http://schemas.openxmlformats.org/drawingml/2006/picture">
                        <pic:nvPicPr>
                          <pic:cNvPr id="0" name="image3.png" descr="Screen Shot 2016-03-29 at 11.34.04 AM.png"/>
                          <pic:cNvPicPr preferRelativeResize="0"/>
                        </pic:nvPicPr>
                        <pic:blipFill>
                          <a:blip r:embed="rId10"/>
                          <a:srcRect/>
                          <a:stretch>
                            <a:fillRect/>
                          </a:stretch>
                        </pic:blipFill>
                        <pic:spPr>
                          <a:xfrm>
                            <a:off x="0" y="0"/>
                            <a:ext cx="5467165" cy="3614738"/>
                          </a:xfrm>
                          <a:prstGeom prst="rect">
                            <a:avLst/>
                          </a:prstGeom>
                          <a:ln/>
                        </pic:spPr>
                      </pic:pic>
                    </a:graphicData>
                  </a:graphic>
                </wp:inline>
              </w:drawing>
            </w:r>
          </w:p>
          <w:p w:rsidR="00B37CA2" w:rsidRDefault="00B37CA2">
            <w:pPr>
              <w:spacing w:line="240" w:lineRule="auto"/>
            </w:pPr>
          </w:p>
          <w:p w:rsidR="00B37CA2" w:rsidRDefault="00B37CA2">
            <w:pPr>
              <w:spacing w:line="240" w:lineRule="auto"/>
            </w:pPr>
          </w:p>
        </w:tc>
      </w:tr>
      <w:tr w:rsidR="00B37CA2" w:rsidTr="00727A00">
        <w:trPr>
          <w:trHeight w:val="5620"/>
          <w:jc w:val="center"/>
        </w:trPr>
        <w:tc>
          <w:tcPr>
            <w:tcW w:w="2145" w:type="dxa"/>
            <w:vMerge/>
            <w:tcMar>
              <w:top w:w="100" w:type="dxa"/>
              <w:left w:w="100" w:type="dxa"/>
              <w:bottom w:w="100" w:type="dxa"/>
              <w:right w:w="100" w:type="dxa"/>
            </w:tcMar>
          </w:tcPr>
          <w:p w:rsidR="00B37CA2" w:rsidRDefault="00B37CA2">
            <w:pPr>
              <w:spacing w:line="240" w:lineRule="auto"/>
            </w:pPr>
          </w:p>
        </w:tc>
        <w:tc>
          <w:tcPr>
            <w:tcW w:w="8910" w:type="dxa"/>
            <w:tcMar>
              <w:top w:w="100" w:type="dxa"/>
              <w:left w:w="100" w:type="dxa"/>
              <w:bottom w:w="100" w:type="dxa"/>
              <w:right w:w="100" w:type="dxa"/>
            </w:tcMar>
          </w:tcPr>
          <w:p w:rsidR="00B37CA2" w:rsidRDefault="00DA1DBF">
            <w:pPr>
              <w:spacing w:line="240" w:lineRule="auto"/>
              <w:rPr>
                <w:b/>
              </w:rPr>
            </w:pPr>
            <w:r>
              <w:rPr>
                <w:b/>
              </w:rPr>
              <w:t>2.0</w:t>
            </w:r>
          </w:p>
          <w:p w:rsidR="00B37CA2" w:rsidRDefault="00DA1DBF">
            <w:pPr>
              <w:spacing w:line="240" w:lineRule="auto"/>
            </w:pPr>
            <w:r>
              <w:rPr>
                <w:noProof/>
              </w:rPr>
              <w:drawing>
                <wp:inline distT="114300" distB="114300" distL="114300" distR="114300">
                  <wp:extent cx="5395913" cy="2292381"/>
                  <wp:effectExtent l="0" t="0" r="0" b="0"/>
                  <wp:docPr id="2" name="image4.png" descr="Screen Shot 2016-03-29 at 11.32.51 AM.png"/>
                  <wp:cNvGraphicFramePr/>
                  <a:graphic xmlns:a="http://schemas.openxmlformats.org/drawingml/2006/main">
                    <a:graphicData uri="http://schemas.openxmlformats.org/drawingml/2006/picture">
                      <pic:pic xmlns:pic="http://schemas.openxmlformats.org/drawingml/2006/picture">
                        <pic:nvPicPr>
                          <pic:cNvPr id="0" name="image4.png" descr="Screen Shot 2016-03-29 at 11.32.51 AM.png"/>
                          <pic:cNvPicPr preferRelativeResize="0"/>
                        </pic:nvPicPr>
                        <pic:blipFill>
                          <a:blip r:embed="rId11"/>
                          <a:srcRect/>
                          <a:stretch>
                            <a:fillRect/>
                          </a:stretch>
                        </pic:blipFill>
                        <pic:spPr>
                          <a:xfrm>
                            <a:off x="0" y="0"/>
                            <a:ext cx="5395913" cy="2292381"/>
                          </a:xfrm>
                          <a:prstGeom prst="rect">
                            <a:avLst/>
                          </a:prstGeom>
                          <a:ln/>
                        </pic:spPr>
                      </pic:pic>
                    </a:graphicData>
                  </a:graphic>
                </wp:inline>
              </w:drawing>
            </w:r>
          </w:p>
          <w:p w:rsidR="00B37CA2" w:rsidRDefault="00B37CA2">
            <w:pPr>
              <w:spacing w:line="240" w:lineRule="auto"/>
            </w:pPr>
          </w:p>
        </w:tc>
      </w:tr>
    </w:tbl>
    <w:p w:rsidR="00B37CA2" w:rsidRDefault="00B37CA2"/>
    <w:sectPr w:rsidR="00B37CA2" w:rsidSect="00727A00">
      <w:headerReference w:type="default" r:id="rId12"/>
      <w:footerReference w:type="default" r:id="rId13"/>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73" w:rsidRDefault="00337B73" w:rsidP="00727A00">
      <w:pPr>
        <w:spacing w:line="240" w:lineRule="auto"/>
      </w:pPr>
      <w:r>
        <w:separator/>
      </w:r>
    </w:p>
  </w:endnote>
  <w:endnote w:type="continuationSeparator" w:id="0">
    <w:p w:rsidR="00337B73" w:rsidRDefault="00337B73" w:rsidP="00727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00" w:rsidRPr="00A740BE" w:rsidRDefault="00337B73" w:rsidP="00727A00">
    <w:pPr>
      <w:jc w:val="right"/>
    </w:pPr>
    <w:r>
      <w:pict>
        <v:rect id="_x0000_i1025" style="width:468pt;height:1pt" o:hralign="center" o:hrstd="t" o:hr="t" fillcolor="#a0a0a0" stroked="f"/>
      </w:pict>
    </w:r>
  </w:p>
  <w:p w:rsidR="00727A00" w:rsidRPr="00722CB9" w:rsidRDefault="00727A00" w:rsidP="00727A00">
    <w:pPr>
      <w:pStyle w:val="Footer"/>
      <w:spacing w:after="60"/>
      <w:rPr>
        <w:color w:val="A6A6A6" w:themeColor="background1" w:themeShade="A6"/>
        <w:sz w:val="12"/>
        <w:szCs w:val="12"/>
      </w:rPr>
    </w:pPr>
  </w:p>
  <w:p w:rsidR="00727A00" w:rsidRPr="00722CB9" w:rsidRDefault="00727A00" w:rsidP="00727A00">
    <w:pPr>
      <w:pStyle w:val="Footer"/>
      <w:spacing w:after="60"/>
      <w:rPr>
        <w:color w:val="A6A6A6" w:themeColor="background1" w:themeShade="A6"/>
        <w:sz w:val="17"/>
        <w:szCs w:val="17"/>
      </w:rPr>
    </w:pPr>
    <w:r w:rsidRPr="00722CB9">
      <w:rPr>
        <w:color w:val="A6A6A6" w:themeColor="background1" w:themeShade="A6"/>
        <w:sz w:val="17"/>
        <w:szCs w:val="17"/>
      </w:rPr>
      <w:t xml:space="preserve">Copyright Learning Systems Associates and Tomorrow’s Education Network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727A00" w:rsidRPr="00E3175C" w:rsidRDefault="00727A00" w:rsidP="00727A00">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r w:rsidRPr="00940015">
      <w:rPr>
        <w:color w:val="A6A6A6" w:themeColor="background1" w:themeShade="A6"/>
        <w:sz w:val="17"/>
        <w:szCs w:val="17"/>
      </w:rPr>
      <w:t>Creative Commons Attribution-Noncommercial 4.0 International License</w:t>
    </w:r>
    <w:r w:rsidRPr="00722CB9">
      <w:rPr>
        <w:color w:val="A6A6A6" w:themeColor="background1" w:themeShade="A6"/>
        <w:sz w:val="17"/>
        <w:szCs w:val="17"/>
      </w:rPr>
      <w:t xml:space="preserve">           </w:t>
    </w:r>
    <w:r>
      <w:rPr>
        <w:color w:val="A6A6A6" w:themeColor="background1" w:themeShade="A6"/>
        <w:sz w:val="17"/>
        <w:szCs w:val="17"/>
      </w:rPr>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CF7471">
      <w:rPr>
        <w:bCs/>
        <w:noProof/>
        <w:color w:val="A6A6A6" w:themeColor="background1" w:themeShade="A6"/>
        <w:sz w:val="17"/>
        <w:szCs w:val="17"/>
      </w:rPr>
      <w:t>1</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CF7471">
      <w:rPr>
        <w:bCs/>
        <w:noProof/>
        <w:color w:val="A6A6A6" w:themeColor="background1" w:themeShade="A6"/>
        <w:sz w:val="17"/>
        <w:szCs w:val="17"/>
      </w:rPr>
      <w:t>3</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73" w:rsidRDefault="00337B73" w:rsidP="00727A00">
      <w:pPr>
        <w:spacing w:line="240" w:lineRule="auto"/>
      </w:pPr>
      <w:r>
        <w:separator/>
      </w:r>
    </w:p>
  </w:footnote>
  <w:footnote w:type="continuationSeparator" w:id="0">
    <w:p w:rsidR="00337B73" w:rsidRDefault="00337B73" w:rsidP="00727A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471" w:rsidRDefault="00CF7471">
    <w:pPr>
      <w:pStyle w:val="Header"/>
    </w:pPr>
  </w:p>
  <w:p w:rsidR="00CF7471" w:rsidRDefault="00CF7471" w:rsidP="00CF7471">
    <w:pPr>
      <w:pStyle w:val="Header"/>
    </w:pPr>
  </w:p>
  <w:p w:rsidR="00CF7471" w:rsidRDefault="00CF7471" w:rsidP="00CF7471">
    <w:pPr>
      <w:pStyle w:val="Head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382"/>
    </w:tblGrid>
    <w:tr w:rsidR="00CF7471" w:rsidTr="006E0E0F">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F7471" w:rsidRDefault="00CF7471" w:rsidP="00CF7471">
          <w:pPr>
            <w:rPr>
              <w:noProof/>
              <w:lang w:val="en-US"/>
            </w:rPr>
          </w:pPr>
          <w:r>
            <w:rPr>
              <w:noProof/>
              <w:lang w:val="en-US"/>
            </w:rPr>
            <w:drawing>
              <wp:inline distT="0" distB="0" distL="0" distR="0" wp14:anchorId="5374CCD8" wp14:editId="42E36B76">
                <wp:extent cx="87630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F7471" w:rsidRDefault="00CF7471" w:rsidP="00CF7471">
          <w:pPr>
            <w:jc w:val="right"/>
            <w:rPr>
              <w:noProof/>
              <w:color w:val="A6A6A6" w:themeColor="background1" w:themeShade="A6"/>
              <w:lang w:val="en-US"/>
            </w:rPr>
          </w:pPr>
          <w:r>
            <w:rPr>
              <w:noProof/>
              <w:color w:val="A6A6A6" w:themeColor="background1" w:themeShade="A6"/>
              <w:lang w:val="en-US"/>
            </w:rPr>
            <w:t>Item Bank Math</w:t>
          </w:r>
        </w:p>
      </w:tc>
    </w:tr>
  </w:tbl>
  <w:p w:rsidR="00CF7471" w:rsidRDefault="00CF7471" w:rsidP="00CF7471">
    <w:pPr>
      <w:jc w:val="center"/>
      <w:rPr>
        <w:color w:val="auto"/>
      </w:rPr>
    </w:pPr>
    <w:r>
      <w:pict>
        <v:rect id="_x0000_i1026" style="width:146.75pt;height:.75pt" o:hralign="center" o:hrstd="t" o:hr="t" fillcolor="#a0a0a0" stroked="f"/>
      </w:pict>
    </w:r>
  </w:p>
  <w:p w:rsidR="00CF7471" w:rsidRDefault="00CF7471" w:rsidP="00CF7471">
    <w:pPr>
      <w:rPr>
        <w:b/>
        <w:sz w:val="28"/>
        <w:szCs w:val="28"/>
        <w:highlight w:val="yellow"/>
      </w:rPr>
    </w:pPr>
  </w:p>
  <w:p w:rsidR="00CF7471" w:rsidRDefault="00CF7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471AF"/>
    <w:multiLevelType w:val="multilevel"/>
    <w:tmpl w:val="2B3AC7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7D42B08"/>
    <w:multiLevelType w:val="multilevel"/>
    <w:tmpl w:val="1B54B9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37CA2"/>
    <w:rsid w:val="00337B73"/>
    <w:rsid w:val="00727A00"/>
    <w:rsid w:val="00B37CA2"/>
    <w:rsid w:val="00CF7471"/>
    <w:rsid w:val="00DA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A457AA-53D4-4FAE-BDB7-9B3AE733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27A00"/>
    <w:pPr>
      <w:tabs>
        <w:tab w:val="center" w:pos="4680"/>
        <w:tab w:val="right" w:pos="9360"/>
      </w:tabs>
      <w:spacing w:line="240" w:lineRule="auto"/>
    </w:pPr>
  </w:style>
  <w:style w:type="character" w:customStyle="1" w:styleId="HeaderChar">
    <w:name w:val="Header Char"/>
    <w:basedOn w:val="DefaultParagraphFont"/>
    <w:link w:val="Header"/>
    <w:uiPriority w:val="99"/>
    <w:rsid w:val="00727A00"/>
  </w:style>
  <w:style w:type="paragraph" w:styleId="Footer">
    <w:name w:val="footer"/>
    <w:basedOn w:val="Normal"/>
    <w:link w:val="FooterChar"/>
    <w:uiPriority w:val="99"/>
    <w:unhideWhenUsed/>
    <w:rsid w:val="00727A00"/>
    <w:pPr>
      <w:tabs>
        <w:tab w:val="center" w:pos="4680"/>
        <w:tab w:val="right" w:pos="9360"/>
      </w:tabs>
      <w:spacing w:line="240" w:lineRule="auto"/>
    </w:pPr>
  </w:style>
  <w:style w:type="character" w:customStyle="1" w:styleId="FooterChar">
    <w:name w:val="Footer Char"/>
    <w:basedOn w:val="DefaultParagraphFont"/>
    <w:link w:val="Footer"/>
    <w:uiPriority w:val="99"/>
    <w:rsid w:val="00727A00"/>
  </w:style>
  <w:style w:type="character" w:styleId="Hyperlink">
    <w:name w:val="Hyperlink"/>
    <w:basedOn w:val="DefaultParagraphFont"/>
    <w:uiPriority w:val="99"/>
    <w:unhideWhenUsed/>
    <w:rsid w:val="00727A00"/>
    <w:rPr>
      <w:color w:val="0000FF"/>
      <w:u w:val="single"/>
    </w:rPr>
  </w:style>
  <w:style w:type="table" w:styleId="TableGrid">
    <w:name w:val="Table Grid"/>
    <w:basedOn w:val="TableNormal"/>
    <w:uiPriority w:val="39"/>
    <w:rsid w:val="00CF7471"/>
    <w:pPr>
      <w:pBdr>
        <w:top w:val="none" w:sz="0" w:space="0" w:color="auto"/>
        <w:left w:val="none" w:sz="0" w:space="0" w:color="auto"/>
        <w:bottom w:val="none" w:sz="0" w:space="0" w:color="auto"/>
        <w:right w:val="none" w:sz="0" w:space="0" w:color="auto"/>
        <w:between w:val="none" w:sz="0" w:space="0" w:color="auto"/>
      </w:pBdr>
      <w:spacing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xzaq xmlns="15d20a1b-1783-42b3-bf43-b63c65b9212a">0</xzaq>
    <Group xmlns="15d20a1b-1783-42b3-bf43-b63c65b9212a">Item Banks</Group>
    <Client_x0020_or_x0020_Event xmlns="15d20a1b-1783-42b3-bf43-b63c65b9212a" xsi:nil="true"/>
    <x_x0020_Subject xmlns="15d20a1b-1783-42b3-bf43-b63c65b9212a">Math</x_x0020_Subject>
    <x_x0020_Catagory xmlns="15d20a1b-1783-42b3-bf43-b63c65b9212a">Assessments</x_x0020_Catagory>
    <x_x0020_Grade xmlns="15d20a1b-1783-42b3-bf43-b63c65b9212a">K</x_x0020_Grade>
  </documentManagement>
</p:properties>
</file>

<file path=customXml/itemProps1.xml><?xml version="1.0" encoding="utf-8"?>
<ds:datastoreItem xmlns:ds="http://schemas.openxmlformats.org/officeDocument/2006/customXml" ds:itemID="{1EA7A2C6-46B4-4045-A283-CBE5FCF2BD9E}">
  <ds:schemaRefs>
    <ds:schemaRef ds:uri="http://schemas.microsoft.com/sharepoint/v3/contenttype/forms"/>
  </ds:schemaRefs>
</ds:datastoreItem>
</file>

<file path=customXml/itemProps2.xml><?xml version="1.0" encoding="utf-8"?>
<ds:datastoreItem xmlns:ds="http://schemas.openxmlformats.org/officeDocument/2006/customXml" ds:itemID="{6A6C6FA4-C9E4-42B5-8419-1A8D21CEB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EFEE1-D56E-4F25-905F-75292A5961F7}">
  <ds:schemaRefs>
    <ds:schemaRef ds:uri="http://schemas.microsoft.com/office/2006/metadata/properties"/>
    <ds:schemaRef ds:uri="http://schemas.microsoft.com/office/infopath/2007/PartnerControls"/>
    <ds:schemaRef ds:uri="15d20a1b-1783-42b3-bf43-b63c65b9212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3</cp:revision>
  <dcterms:created xsi:type="dcterms:W3CDTF">2018-05-10T23:06:00Z</dcterms:created>
  <dcterms:modified xsi:type="dcterms:W3CDTF">2018-05-11T00:29:00Z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